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10.07.2020, оставленным без изменения постановлением Девятого арбитражного апелляционного суда от 08.10.2020, иск удовлетворен. Арбитражный суд Московского округа постановлением от 09.02.2021 решение от 10.07.2020 и постановление Девятого арбитражного апелляционного суда от 08.10.2020 оставил без изменения. В кассационной жалобе банк просит об отмене судебных актов, ссылаясь на правомерный отказ в платеже.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жалобыойе усматривается. Судами установлено, что требования о платеже по банковским гарантиям от 14.03.2019 № ЭГБ-80/2019, № ЭГБ-81/2019 были представлены бенефициаром в переделах срока действия гарантий и соответствовали их условиям, поэтому банк в силу статей 374 , 376 Гражданского кодекса Российской Федерации не праве был отказать в платеже. Иная оценка своих и бенефициара действий в связи с реализацией банковских гарантий, к которой сводятся доводы жалобы, не отвечает критериям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«Меткомбанк» в передаче кассационных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"ВЕТРОЭНЕРГЕТИЧЕСКАЯ ОТДЕЛЬНАЯ ГЕНЕРИРУЮЩАЯ КОМПАНИЯ" (подробнее) Ответчики: ПАО "Меткомбанк"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