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28.07.2020 взыскано 18 400 рублей задолженности, 7 000 рублей расходов на услуги эксперта и 184 рублей пеней за период с 27.02.2020 по 23.03.2020. Семнадцатый арбитражный апелляционный суд постановлением от 19.11.2020 отменил решение от 28.07.2020 и отказал в удовлетворении иска. Арбитражный суд Уральского округа постановлением от 02.02.2021 отменил постановление Семнадцатого арбитражного апелляционного суда от 19.11.2020 и оставил в силе решение от 28.07.2020. В кассационной жалобе Российский союз автостраховщиков просит об отмене решения и постановления окружного суда, ссылаясь на отсутствие у истца права на получение компенсационной выплаты и производного от него права на неустойку.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Истцу перешли права выгодоприобретателя на выплату в рамках договора обязательного страхования по сделке, предусматривающей перемену лица в обязательстве. В силу пункта 2.1 статьи 18 Федерального закона от 25.04.2002 № 40-ФЗ «Об обязательном страховании гражданской ответственности владельцев транспортных средств» выгодоприобретатели отнесены к лицам, имеющим право на получение компенсационных выплат. Вопрос о размере неустойки не отвечает критериям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Боровлев Сергей Гаврилович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