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20.08.2020, оставленным без изменения постановлением Девятого арбитражного апелляционного суда от 19.11.2020, ответчик обязан к выдаче направления в ремонтную организацию с указанием подлежащих ремонту деталей транспортного средства. Арбитражный суд Московского округа постановлением от 11.03.2021 решение от 20.08.2020 и постановление Девятого арбитражного апелляционного суда от 19.11.2020 оставил без изменения. В кассационной жалобе общество «Цена-качество» просит об отмене судебных актов в неудовлетворенной части иска, ссылаясь на отсутствие в договоре права на отказ в осуществлении страхового возмещения в связи с разновременными повреждениями транспортно средства.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в отношении части повреждений транспортного средства заявителем не соблюден согласованный в договоре от 10.07.2018 № SYS1401883459 порядок обращения за осуществлением страхового возмещения, что лишает страховщика возможности оценить попадание таких повреждений под застрахованные риски (статья 929 Гражданского кодекса Российской Федерации) и договорные или законные основания для освобождения от выплаты страхового возмещения (статьи 961, 963 Кодекса). Учитывая нарушение заявителем предусмотренных договором обязанностей при реализации права на получение страховой выплаты в отношении части убытков, суды правомерно отказали в соответствующей им части иска.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«Цена-качество»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"Цена-качество" (подробнее) Ответчики: ПАО Страховое "Ресо-Гарантия"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