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31.07.2020, оставленным без изменения постановлением Восемнадцатого арбитражного апелляционного суда от 19.11.2020 и постановлением Арбитражного суда Уральского округа от 20.02.2021, иск удовлетворен частично. В кассационной жалобе общество «Интер» просит об отмене судебных актов в неудовлетворенной части иска, ссылаясь на ненадлежащую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недоказанность плохого качества всех поставленных ответчиком емкостей и удовлетворили иск в доказанной части в соответствии со статьями 469 , 475 , 476 , 506 , 518 Гражданского кодекса Российской Федерации и статьей 65 Арбитражного процессуального кодекса Российской Федерации.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"Интер" (подробнее) Ответчики: ООО "ВТК ВЕЛЕС" (подробнее) Иные лица: Представитель Брусаков Павел Витальевич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