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11.08.2020, оставленным без изменения постановлением Седьмого арбитражного апелляционного суда от 03.11.2020 и постановлением Арбитражного суда Западно-Сибирского округа от 11.02.2021, заявление удовлетворено.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отказать в удовлетворении заявленного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управление поступило обращение гражданина о получении на его мобильный телефон сообщения, согласие на получение которого он не давал, с предложением рекламного характера. Номер телефона, с которого получено сообщение, выделен гражданину ФИО1 с 23.09.2007 оператором связи ООО «Т2 Мобайл». Решением управления от 13.12.2019 № 022/05/18-760/2091 распространенная посредством сообщения в приложении «WhatsApp» реклама на номер заявителя признана ненадлежащей, пунктом 4 решения указано на необходимость выдать обществу предписание о прекращении нарушения законодательства Российской Федерации о рекламе, как лицу способному устранить нарушение. Во исполнение принятого решения 13.12.2019 выдано предписание, обществу в пятидневный срок со дня его получения указано на необходимость прекратить распространение на абонентский номер подателя жалобы ненадлежащей рекламы посредством сообщений с номера, зарегистрированного на ФИО1, поскольку заявитель не давал согласия на получение рекламных звонков. Не согласившись с пунктом 4 решения управления и предписанием антимонопольного органа, общество обратилось в арбитражный суд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13.03.2006 № 38-ФЗ «О рекламе» (далее – Закон о рекламе), Федерального закона от 07.07.2003 № 126-ФЗ «О связи» (далее – Закон о связи), пришли к выводу, что оспоренные ненормативные акты управления нарушают права и законные интересы общества, с чем согласился суд округа. Судебные инстанции исходили из того, что обязанность по прекращению нарушения законодательства о рекламе должна быть возложена именно на абонента - ФИО1; в рассматриваемом случае общество не является рекламодателем либо рекламораспространителем, и, соответственно, не может быть субъектом ответственности, предусмотренным Законом о рекламе. Доводы, изложенные в кассационной жалобе, являлись предметом рассмотрения судов, не опровергают их выводы, не подтверждают существенных нарушений норм материального права и норм процессуального права, повлиявших на исход дела, основаны на ином толковании положений законодательства,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Алтайскому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"Т2 Мобайл" (подробнее) Ответчики: Управление Федеральной антимонопольной службы по АК.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