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Тверской области от 22.09.2020, оставленным без изменения постановлением Четырнадцатого арбитражного 2 апелляционного суда от 10.12.2020, оспариваемое постановление изменено в части назначенного наказания, штраф снижен до 150 000 рублей. Постановлением Арбитражного суда Северо-Западного округа от 17.03.2021 указанные судебные акты оставлены без изменения. Общество просит обжалуемые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административным органом факт нарушения обществом требований технического регламента, создающее угрозу причинения вреда жизни или здоровью граждан, что выразилось в реализации алкогольной продукции с истекшим сроком годности.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3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Оценив представленные доказательства, руководствуясь положениями Технического регламента Таможенного союза 021/2011 «О безопасности пищевой продукции»,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Суды указали, что процедура привлечения к административной ответственности не нарушена, срок давности привлечения к ответственности соблюден, основания для применения положений статьи 2.9, 4.1.1 Кодекса Российской Федерации об административных правонарушениях отсутствуют, размер штрафа снижен судом.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с учетом отсутствия доказательств, подтверждающих принятие обществом всех зависящих от него мер, направленных на соблюдение обязательных требований к продукции в процессе ее реализации.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