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10.06.2020, оставленным без изменения постановлением Девятого арбитражного апелляционного суда от 27.10.2021, в удовлетворении иска отказано. Арбитражный суд Московского округа постановлением от 11.02.2021 решение от 10.06.2020 и постановление Девятого арбитражного апелляционного суда от 27.10.2021 оставил без изменения. В кассационной жалобе предприниматель просит об отмене судебных актов, ссылаясь на незаконное усмотрение в реализации уступленных потерпевшим прав злоупотребления правом.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Основанная на статье 10 Гражданского кодекса Российской Федерации компетенция суда на применение предусмотренных этой нормой последствий нарушения пределов осуществления гражданских прав не пересматривается в кассационном порядке.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ИП Хизриев Ш А (подробнее) Судьи дела: Ксенофонтова Н.А. (судья) (подробнее) Судебная практика по: Злоупотребление правом Судебная практика по применению нормы ст. 10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