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09.07.2020, оставленным без изменения постановлением Семнадцатого арбитражного апелляционного суда от 29.09.2020, заявленные требования удовлетворены. 2 Постановлением Арбитражного суда Уральского округа от 28.01.2021 указанные судебные акты оставлены без изменения. Фонд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24.07.1998 № 125-ФЗ «Об обязательном социальном страховании от несчастных случаев на производстве и профессиональных заболеваний», Правил отнесения видов экономической деятельности к классу профессионального риска, утвержденных постановлением Правительства Российской Федерации от 01.12.2005 № 713,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утвержденного приказом Министерства здравоохранения и социального развития Российской Федерации 3 от 31.01.2006 № 55, суды удовлетворили заявленные требования, признав, что определение обществу страховых взносов в повышенном размере, при наличии представленных заявителем сведений для подтверждения основного вида экономической деятельности, является неправомерным. Выводы судов не противоречат правовой позиции, изложенной в определениях Верховного Суда Российской Федерации от 11.09.2018 № 309-КГ18-7926, от 12.11.2018 № 304-КГ18-9969. Доводов относительно неправомерности заявленного обществом тарифа в кассационной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