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26.08.2020, оставленным без изменения постановлением Семнадцатого арбитражного апелляционного суда от 26.11.2020, в удовлетворении требования отказано. Постановлением Арбитражного суда Уральского округа от 25.02.2021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65 , 69 Арбитражного процессуального кодекса Российской Федерации, статей 78 , 79 Налогового кодекса Российской Федерации, суды отказали в удовлетворении требований, признав недоказанным, что спорные суммы являются излишне взысканными, исходя из установленных обстоятельств, свидетельствующих о получении налогоплательщиком необоснованной налоговой выгоды по операциям со спорными контрагентами.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 и представленным доказательствам, не согласиться с которой оснований не имеется. При этом вопреки доводам жалобы суд в любом случае не может оставить без внимания и оценки обстоятельства, установленные вступившими в законную силу судебными актами, поскольку обстоятельства эти имеют значение и должны быть подтверждены в рамках того дела, которое разрешает суд.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ЕКАТЕРИНБУРГСКИЙ ЗАВОД ПО ОБРАБОТКЕ ЦВЕТНЫХ МЕТАЛЛОВ (подробнее) Ответчики: МЕЖРАЙОННАЯ ИНСПЕКЦИЯ ФЕДЕРАЛЬНОЙ НАЛОГОВОЙ СЛУЖБЫ ПО КРУПНЕЙШИМ НАЛОГОПЛАТЕЛЬЩИКАМ №10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