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22.06.2020, оставленным без изменения постановлением Первого арбитражного апелляционного суда от 14.09.2020, первоначальный иск удовлетворен, в удовлетворении встречного иска отказано. Постановлением Арбитражного суда Волго-Вятского округа от 25.01.2021 указанные судебные акты оставлены без изменения. Общество обратилось в Верховный Суд Российской Федерации с кассационной жалобой, в которой просит принятые по делу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Суды, оценив представленные доказательства, руководствуясь положениями статей 166 , 169 Гражданского кодекса Российской Федерации, Федерального закона от 18.07.2011 № 223-ФЗ «О закупках товаров, работ, услуг отдельными видами юридических лиц», удовлетворили первоначальный иск, признав факт оказания услуг, в удовлетворении встречного иска отказали исходя из установленных обстоятельств, свидетельствующих о недоказанности мнимого характера сделки, а также наличия в действиях предпринимателя признаков недобросовестности. Доводы кассационной жалобы были предметом исследования судов и получили исчерпывающую правовую оценку применительно к конкретным установленным обстоятельствам, не согласиться с которыми оснований не имеется.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Ответчики: АО "ЖИЛИЩНО-КОММУНАЛЬНОЕ ХОЗЯЙСТВО БОГОРОДСКОГО МУНИЦИПАЛЬНОГО РАЙОНА" (подробнее) Иные лица: Администрация Богородского муниципального района Нижегородской области (подробнее) АО Тинькофф Банк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