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10.07.2020, оставленным без изменения постановлением Четвертого арбитражного апелляционного суда от 01.10.2020 и постановлением Арбитражного суда Восточно-Сибирского округа от 26.01.2021, в иске отказано по мотиву недоказанности условий для взыскания убытков. В кассационной жалобе общество «Братск-Автодилер» просит о пересмотре судебных актов, ссылаясь на нарушение права на сбор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взыскания убытков вследствие ненадлежащего исполнения обязательства и наличие таких условий в рассматриваемом споре, установлены судами в пределах компетенции и требуемая их переоценка не отвечает критериям оснований для кассационного пересмотра судебных актов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«Братск-Автодилер»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