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18.08.2020, оставленным без изменения постановлением Двадцать первого арбитражного апелляционного суда от 02.11.2020, иск удовлетворен. Постановлением Арбитражного суда Центрального округа от 17.02.2021 решение и постановление апелляционного суда отменены, дело направлено на новое рассмотрение в арбитражный суд первой инстанции. В кассационной жалобе общество просит отменить постановление окружного суда, ссылаясь на процессуальные нарушения и неправильные выводы в отношении обстоятельств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основания осуществленных ответчиком платежей и порядок их учета истцом, влияющие на исчисление срока исковой давности, поэтому признал необходимость нового рассмотрения дела в пределах имеющейся в силу статей 286, 287 Арбитражного процессуального кодекса Российской Федерации компетенции.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«Регионоптторг»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