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18.11.2020, оставленным без изменения постановлением Пятнадцатого арбитражного апелляционного суда от 24.12.2020 и постановлением Арбитражного суда Северо-Кавказского округа от 10.02.2021, исковое заявление возвращено как подписанное неуполномоченным лицом. В кассационной жалобе общество «Волс-Юг» просит о пересмотре судебных актов, указывая, что исковое заявление подлежало оставлению без движения и могло быть возвращено лишь в случае неустранения недостатков.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усматривается, поскольку возвращение искового заявления не исключает возможности восстановления и защиты прав.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«Волс-Юг»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