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02.06.2020, оставленным без изменения постановлением Седьмого арбитражного апелляционного суда от 08.10.2020 и постановлением Арбитражного суда Западно-Сибирского округа от 18.02.2021, иск удовлетворен. В кассационной жалобе предприниматель просит о пересмотре судебных актов, ссылаясь на подтверждение оказания услуг двусторонними документами, не оспоренными по правилам о недействительности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Документы, на которые ссылается заявитель в качестве подтверждающих оказание услуг, исключены из числа доказательств в связи с заявлением истца, подкрепленным заключением экспертизы. Денежные средства, полученные за неисполненное обязательство, правомерно признаны подлежащими возврату по правилу статьи 1102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Павлюченко Алене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