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03.09.2020, оставленным без изменения постановлением Девятого арбитражного апелляционного суда от 27.11.2020 и постановлением Арбитражного суда Московского округа от 02.02.2021, производство по делу прекращено в связи с отказом предпринимателя от иска, с общества взыскано 17 256 рублей судебных расходов на услуги представителя. В кассационной жалобе общество просит о пересмотре судебных актов в части взыскания судебных расходов, ссылаясь на отсутствие признания иска.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Уплата третьим лицом, связанным правоотношениями с ответчиком, спорной суммы после предъявления иска не изменяет порядка возмещения судебных расходов, предусмотренного статьями 101, 106, 110 Арбитражного процессуального кодекса Российской и их официальным толкованием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