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Смоленской области от 15.06.2020, оставленным без изменения постановлением Двадцатого арбитражного апелляционного суда от 03.09.2020 и постановлением Арбитражного суда Центрального округа от 21.01.2021, в удовлетворении иска отказано. В кассационной жалобе общество просит о пересмотре судебных актов как противоречащих обстоятельствам исполнения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 уплату предпринимателем фиксированного вознаграждения лицу, непосредственно осуществлявшему представительство, и отсутствие результата деятельности общества, преследуемого договором от 03.07.2018, поэтому разрешили спор в соответствии со статьями 779, 781 Гражданского кодекса Российской Федерации исходя из обязанности оплаты фактически оказанных услуг.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«Юрколлегия»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