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Арбитражным судом Свердловской области в рамках объединенного дела № А60-72736/2019 рассмотрен иск общества с ограниченной ответственностью СК «Активстрой» к обществу с ограниченной ответственностью «Триал-Авто» (заказчику) о взыскании 41 382 751 рубля задолженности по договору от 28.09.2016 № 129/16 на оказание транспортных услуг (по УПД от 31.12.2016 № С00011) и встречный иск ООО «Триал-Авто» о признании мнимыми сделок по оказанию ООО «УралСтройТорг» (правопредшественником ООО СК «Активстрой» на основании договора цессии) услуг по перевозке, оформленных УПД № С-00011 от 31.12.2016 на сумму 6 451 928 рублей, УПД № 000006 от 31.01.2017 на сумму 7 456 203 рубля, УПД № 000012 от 28.02.2017 на сумму 17 217 736 рублей, УПД № 000029 от 31.03.2017 на сумму 10 256 884 рубля по договору от 28.09.2016, в части неоплаченных услуг по перевозке на общую сумму 41 382 751 рубль. Решением Арбитражного суда Свердловской области от 21.07.2020 первоначальный иск удовлетворен; в удовлетворении встречного иска отказано. Постановлением Семнадцатого арбитражного апелляционного суда от 06.11.2020 решение суда первой инстанции оставлено без изменения. Арбитражный суд Уральского округа постановлением от 18.01.2021 указанные судебные акты оставил без изменения. Общество с ограниченной ответственностью «Триал-Авто»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квалифицировав сложившиеся между сторонами правоотношения, признав доказанным факт оказания услуг, учитывая отсутствие претензий по объему, качеству и срокам оказания услуг при подписании универсальных передаточных документов, условия договора об определении круга лиц, уполномоченных подписывать документы со стороны заказчика, отсутствие доказательств того, что воля сторон сделки была направлена на создание не соответствующих ей правовых последствий, руководствуясь положениями статей 170 , 309 , 310 , 421 , 431 , 779 Гражданского кодекса Российской Федерации, суды пришли к выводам о наличии оснований для удовлетворения первоначального иска о взыскании задолженности за оказанные услуги и отсутствии оснований для признания мнимыми сделок по оказанию услуг, оформленных универсальными передаточными документами. Доводы жалобы, в том числе о неверной квалификации сложившихся между сторонами правоотношений, мнимости спорных универсальных передаточных документов, отсутствии реальных отношений, приводились при рассмотрении дела, были рассмотрены судами и с учетом установленных фактических обстоятельств получили надлежащую оценку.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«Триал-Авто»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