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06.07.2020, оставленным без изменения постановлением Девятого арбитражного апелляционного суда от 13.11.2020 и постановлением Арбитражного суда Московского округа от 25.01.2021, первоначальный иск удовлетворен, в удовлетворении встречного иска отказано. В кассационной жалобе компания просит об отмене судебных актов, указывая, что не является ответственным за убытки лицом и судами допущены процессуальные нарушения.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предметом иска общества являются полученные компанией во исполнение договора лизинга от 13.08.2019 № 2043003-ФЛ/НКЗ-19 платежи, подлежащие ею возврату по правилу статьи 1102 Гражданского кодекса Российской Федерации в качестве последствия отказа от договора. Доводы об оспаривании размера требований не создают оснований для пересмотра судебных актов на стадии кассационного производства.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«ЛК «Европлан»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