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23.06.2020, оставленным без изменения постановлением Пятнадцатого арбитражного апелляционного суда от 05.11.2020 и постановлением Арбитражного суда Северо-Кавказского округа от 26.01.2021, в удовлетворении иска отказано. В кассационной жалобе общество «ЭЛПИ» просит о пересмотре судебных актов вследствие наличия необходимых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необходимые в силу статей 15, 393 Гражданского кодекса Российской Федерации условия для взыскания убытков, и наличие таких условий в рассматриваемом деле установлены судами в пределах компетенции. Переоценка выводов судов в отношении условий применения ответственности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«ЭЛПИ»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