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мая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Челябинской области от 14.07.2020, оставленным без изменения постановлением Восемнадцатого арбитражного апелляционного суда от 06.10.2020 и постановлением Арбитражного суда Уральского округа от 25.01.2021, в удовлетворении первоначального иска отказано, встречный иск удовлетворен. 2 В кассационной жалобе общество «Торговый дом «ЧелябСпецТехнологии» просит об отмене судебных актов, ссылаясь на процессуальные нарушения, неосновательный отказ ответчика от возврата некачественного товара.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Ненадлежащее исполнение обществом «Торговый дом «ЧелябСпецТехнологии» обязательств в рамках договора поставки от 13.07.2017 № 12/2017 установлено судами, поэтому требования к нему удовлетворены в соответствии с обстоятельствами поставки и статьями 330, 395, 475, 506, 516, 520, 1102 Гражданского кодекса Российской Федерации. Действия суда, которые заявитель считает процессуальными нарушениями, таковыми не являются и не влияют на судьбу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«Торговый дом «ЧелябСпецТехнологии»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