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09.10.2020, оставленным без изменения постановлением Девятого арбитражного апелляционного суда от 23.12.2020 и постановлением Арбитражного суда Московского округа от 18.03.2021, иск удовлетворен частично. В кассационной жалобе общество «Консул» просит об отмене судебных актов, ссылаясь на подтвержденность оказания услуг.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статьями 779, 781 Гражданского кодекса Российской Федерации и обстоятельствами исполнения договора, суды правомерно признали подлежащими оплате услуги, оказание которых до отказа заказчика от договора документально подтверждено. Суды уменьшили размер неустойки, установив наличие критериев для применения статьи 333 Гражданского кодекса Российской Федерации. Вопросы доказывания и оценки доказательств, обосновывающие доводы жалобы, не отвечают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«Консул»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