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Боровлев Сергей Гаврилович обратился в Арбитражный суд Свердловской области с иском о взыскании с Российского союза автостраховщиков (заменившего в порядке статьи 46 Арбитражного процессуального кодекса Российской Федерации ненадлежащего ответчика) 50 000 рублей ущерба, 15 500 рублей неустойки за просрочку выплаты страхового возмещения, начисленной за период с 09.09.2019 по 09.10.2019, с продолжением ее начисления по день фактического исполнения денежного обязательства, 15 000 рублей судебных расходов на оплату услуг представителя, 223 рублей 14 копеек почтовых расходов. К участию в деле в качестве третьего лица, не заявляющего самостоятельных требований относительно предмета спора, привлечено акционерное общество «Альфастрахование». Решением Арбитражного суда Свердловской области от 24.07.2020 иск удовлетворен в части взыскания 50 000 рублей страхового возмещения, 594 рублей 52 копеек неустойки, начисленной за период с 09.09.2019 по 2 09.10.2019; в удовлетворении иска в остальной части отказано; распределены судебные расходы. Постановлением Семнадцатого арбитражного апелляционного суда от 22.10.2020 решение суда первой инстанции оставлено без изменения. Арбитражный суд Уральского округа постановлением от 09.02.2021 указанные судебные акты оставил без изменения. Российский союз автостраховщиков обратился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Удовлетворяя иск, суды исходили из того, что в соответствии с подпунктом «б» пункта 2 статьи 18 Федерального закона от 25.04.2002 № 40-ФЗ «Об обязательном страховании гражданской ответственности владельцев транспортных средств», Российский союз автостраховщиков должен осуществлять компенсационные выплаты в счет возмещения вреда, причиненного имуществу потерпевших, в случае отзыва у страховщика лицензии на осуществление страховой деятельности. При этом с учетом обстоятельств дела суды пришли к выводу о несоразмерности заявленной истцом к взысканию неустойки последствиям нарушения обязательства, снизив размер неустойки по правилам статьи 333 Гражданского кодекса Российской Федерации. Доводы жалобы о недопустимости уступки права на компенсационную выплату основаны на неверном толковании норм права,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3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Российскому союзу автостраховщиков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