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29.10.2020, оставленным без изменения постановлением Девятого арбитражного апелляционного суда от 04.02.2021, принято к производству заявление общества с ограниченной ответственностью «Антарес» (далее – общество) о признании должника несостоятельным (банкротом), назначено судебное заседание по проверке обоснованности требования. В кассационной жалобе, поданной в Верховный Суд Российской Федерации, заявитель просит отменить названные судебные акты, направить вопрос на новое рассмотрение в Арбитражный суд города Москвы для принятия заявления центра в качестве заявления о признании должника несостоятельным (банкротом).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первой и апелляционной инстанции, руководствуясь положениями статей 7, 50, 213.3, 213.5 Федерального закона от 26.10.2002 № 127-ФЗ «О несостоятельности (банкротстве)», исходили из соблюдения обществом требований законодательства о несостоятельности при подаче заявления. Поскольку определениями Арбитражного суда города Москвы от 12.04.2021 и от 12.05.2021 по делу № А40-201619/2020, согласно информации с официального сайта Картотеки арбитражных дел (http://kad.arbitr.ru/), заявления общества и центра оставлены без рассмотрения, права заявителя нельзя признать нарушенными действием обжалуемых им судебных актов.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«Центр научно-технических услуг «Динамика»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