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28.09.2020, оставленным без изменения постановлением Тринадцатого арбитражного апелляционного суда от 08.12.2020 и постановлением Арбитражного суда Северо-Западного округа от 16.03.2021, в удовлетворении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отказывая в удовлетворении иска, суды руководствовались статьями 196, 199, 200 Гражданского кодекса Российской Федерации,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и исходили из пропуска обществом срока исковой давности, о чем было заявлено ответчиком. Доводы заявителя о перерыве срока исковой давности были предметом рассмотрения судов и получили правовую оценку. Изложенные в кассационной жалобе доводы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«Веста»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