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13.08.2020, оставленным без изменения постановлением Семнадцатого арбитражного апелляционного суда от 16.11.2020 и постановлением Арбитражного суда Уральского округа от 17.02.2021, в удовлетворении иска отказано. В кассационной жалобе и дополнении к ней, поданных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актов, доводов кассационной жалобы и дополнения к ней не установлено. Разрешая спор и отказывая в удовлетворении иска, суды руководствовались статьями 195, 196, 199, 200, 307, 309, 310, 432, 575 Гражданского кодекса Российской Федерации и исходили из неподтвержденности наличия спорной задолженности, а также пропуска обществом срока исковой давности, о чем было заявлено ответчиком. Доводы заявителя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«Молоко»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