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12.12.2018, оставленным в силе постановлением апелляционного суда от 27.03.2019, иск удовлетворен. Постановлением суда округа 06.06.2019 указанные судебные акты отменены, дело направлено на новое рассмотрение в суд первой инстанции. В кассационной жалобе, поданной в Верховный Суд Российской Федерации, заявитель указывает на нарушения в толковании и применении судом округа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(далее АПК РФ) основания для передачи жалобы для рассмотрения в судебном заседании отсутствуют. В силу положений статьи 286 АПК РФ в компетенцию суда кассационной инстанции входит проверка законности судебных актов, принятых судами первой и апелляционной инстанций, правильности применения норм материального права и норм процессуального права, а также соответствие выводов арбитражных судов о применении норм права установленным ими по делу обстоятельствам и имеющимся в деле доказательствам. Отменяя судебные акты судов первой и апелляционной инстанции и направляя спор на новое рассмотрение, суд округа, не принимая какого-либо решения по существу спора, указал на необходимость исследования судом имеющих значение для правильного рассмотрения дела обстоятельств с учетом подлежащих применению норм материального права и проверки доводов сторон. Таким образом, суд кассационной инстанции не вышел за пределы своих полномочий, обязав нижестоящий суд исследовать существенные для правильного разрешения спора обстоятельства. При новом рассмотрении дела заявитель не лишен возможности изложить свои доводы и представить соответствующие доказательства. Нарушений норм процессуального права, влекущих безусловную отмену судебного акта, судом кассационной инстанции не допущено. Руководствуясь статьями 291.6 , 291.8 АПК РФ ,</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С.В.Самуйлов Суд: Верховный Суд РФ (подробнее) Истцы: АО "ТАРКЕТТ РУС" (подробнее) ООО к/у "РЕГИОН СЕРВИС" Федяев М.А. (подробнее) Ответчики: ООО "Регион Сервис" (подробнее) Последние документы по делу: Определение от 20 мая 2021 г. по делу № А40-92990/2018 Определение от 27 августа 2019 г. по делу № А40-92990/2018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