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Таженов Александр Александрович обратился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«Банк Финсервис» 135 170 рублей 85 копеек процентов за пользование чужими денежными средствами за период с 26.09.2018 по 27.03.2020. Решением Арбитражного суда города Москвы от 29.05.2020 иск удовлетворен, а также частично взысканы расходы на оплату услуг представителя в сумме 15 000 рублей. Постановлением Девятого арбитражного апелляционного суда от 08.10.2020 решение суда первой инстанции оставлено без изменения. Арбитражный суд Московского округа постановлением от 26.01.2021 указанные судебные акты оставил без изменения. Акционерное общество «Банк Финсервис» обратилось в Судебную коллегию по экономическим спорам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395, 421, 845, 849, 856, 859, 862 Гражданского кодекса Российской Федерации, Федерального закона от 02.12.1990 № 395-1 «О банках и банковской деятельности», разъяснениями, содержащимися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исходили из доказанности факта несвоевременного выполнения ответчиком своих обязательств по закрытию счета, что явилось основанием для взыскания процентов, предусмотренных статьей 395 Гражданского кодекса Российской Федерации.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«Банк Финсервис»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