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«АрмСтройДеталь» обратилось в Арбитражный суд Челябинской области с иском о взыскании с общества с ограниченной ответственностью «Форсаж» 190 000 рублей неосновательного обогащения и 12 461 рубля 53 копеек процентов за пользование чужими денежными средствами. Решением Арбитражного суда Челябинской области от 27.07.2020 в удовлетворении иска отказано. Постановлением Восемнадцатого арбитражного апелляционного суда от 05.10.2020 решение суда первой инстанции оставлено без изменения. Арбитражный суд Уральского округа постановлением от 26.01.2021 указанные судебные акты оставил без изменения. Общество с ограниченной ответственностью «АрмСтройДеталь»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309, 310, 410, 801, 803, 1102 Гражданского кодекса Российской Федерации, суды пришли к выводу об отсутствии на стороне ответчика неосновательного обогащения ввиду прекращения обязательств сторон зачетом встречного требования ответчика по уплате неустойки за срыв погрузки. Доводы, изложенные в кассационной жалобе, оспаривающие факт надлежащего исполнения ответчиком (экспедитором) обязательств по договору, приводились при рассмотрения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«АрмСтройДеталь»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