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капитального ремонта многоквартирных домов города Москвы (бенефициар) обратился в Арбитражный суд города Москвы с иском о взыскании с АКБ «Держава» (публичное акционерное общество) (гаранта) 1 069 388 рублей 69 копеек по банковской гарантии от 20.12.2018 № ИСХ-КС-7032/8.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«Техстройнадзор» (принципал). Решением Арбитражного суда города Москвы от 28.05.2020 в удовлетворении иска отказано. Постановлением Девятого арбитражного апелляционного суда от 14.10.2020 решение суда первой инстанции отменено и иск удовлетворен. Арбитражный суд Московского округа постановлением от 02.02.2021 постановление суда апелляционной инстанции оставил без изменения. 2 АКБ «Держава» (публичное акционерное общество)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иск, суд апелляционной инстанции руководствовался положениями статей 185.1, 368, 370, 374, 377, 378 Гражданского кодекса Российской Федерации и исходил из того, что требование бенефициара и приложенные документы соответствуют условиям гарантии, предъявлены в установленном порядке и в пределах срока ее действия, истребуемая сумма не превышает сумму банковской гарантии и отсутствуют предусмотренные статьей 376 Гражданского кодекса Российской Федерации основания для отказа гаранта в совершении платежа.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3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АКБ «Держава»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