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04.09.2020 в удовлетворении заявления отказано. Постановлением Девятого арбитражного апелляционного суда от 21.10.2020 решение суда первой инстанции оставлено без изменения, при 2 этом оспариваемое постановление признано не подлежащим исполнению в части суммы штрафа, превышающей 763 151,20 рублей. Постановлением Арбитражного суда Московского округа от 28.01.2021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невыполнения обществом в установленный срок обязанности по возврату денежных средств, уплаченных нерезидентам за не ввезенные в Российскую Федерацию товары. Частью 5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3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5 статьи 15.25 Кодекса Российской Федерации об административных правонарушениях, признав, что обществом не предприняты достаточные меры, свидетельствующие о проявлении должной степени заботливости и осмотрительности, направленные на исполнение обязательств указанных в контракте.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установлено.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