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Сладков А.Е. обратился в суд с заявлением об определении очёредности удовлетворения требований гражданина Зиновьева Андрея Адольфовича (далее – кредитор) в размере 6 569 413 рублей 79 копеек, основанных на лицензионном договоре от 15.01.2016 № 02/16-Л, в очередь, предшествующую распределению ликвидационной квоты. Определением Арбитражного суда Владимирской области от 07.10.2020, оставлением без изменения постановлениями Первого арбитражного апелляционного суда от 08.12.2020 и Арбитражного суда Волго-Вятского округа от 17.02.2021,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акты, направить дело на новое рассмотрение в Арбитражный суд Владимирской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16, 71, 100 Федерального закона от 26.10.2002 № 127-ФЗ «О несостоятельности (банкротстве)» и исходили из того, что возражения направлены на исключение документально подтверждённого требования кредитора, которое не подлежит субординированию лишь на основании аффилированности сторон, при доказанности реальности правоотношений и в отсутствие доказательств корпоративного характера сложившихся между ними правоотношений или предоставления кредитором компенсационного финансирования должнику в период кризиса.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акционерного общества «Компания «СТЭС – Владимир» Сладкову Артему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