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27.08.2020, оставленным без изменения постановлением Второго арбитражного апелляционного суда от 03.11.2020, общество привлечено к административной ответственности по части 4 статьи 14.1 Кодекса Российской Федерации об 2 административных правонарушениях и ему назначено наказание в виде штрафа в размере 100 000 рублей. Постановлением Арбитражного суда Волго-Вятского округа от 25.01.2021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судом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Установив факт осуществления обществом фармацевтической деятельности с нарушением лицензионных требований, признанных грубыми, суды пришли к выводу о квалификации совершенного деяния по части 4 статьи 14.1 Кодекса Российской Федерации об административных правонарушениях.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Выводы судов не противоречат разъяснениям, изложенным в пунктах 1 и 6 Обзора судебной практики «О некоторых вопросах, возникающих при рассмотрении арбитражными судами дел об административных правонарушениях, предусмотренных главой 14 Кодекса Российской Федерации 3 об административных правонарушениях», утвержденного Президиумом Верховного Суда Российской Федерации 06.12.2017. Приведенные в жалобе доводы о недоказанности состава вмененного правонарушения направлены на переоценку фактических обстоятельств дела, установленных судами по имеющимся в деле доказательствам, выводы судов они не опровергают.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