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Липецкой области от 22.06.2020, оставленным без изменения постановлением Девятнадцатого арбитражного апелляционного суда от 18.09.2020, иск удовлетворен. Постановлением Арбитражного суда Центрального округа от 18.01.2021 указанные судебные акты оставлены без изменения. 2 Общество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Исходя из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1068, 1079, 1081 Гражданского кодекса Российской Федерации, статьи 11 Федерального закона от 16.07.1999 № 165-ФЗ «Об основах обязательного социального страхования», Федерального закона от 24.07.1998 № 125-ФЗ «Об обязательном социальном страховании от несчастных случаев на производстве и профессиональных заболеваний», суды удовлетворили иск, признав обоснованным обращение фонда с требованием к обществу, являющемуся работодателем непосредственного причинителя вреда и владельцем источника повышенной опасности. Доводы жалобы были предметом рассмотрения судов и получили исчерпывающую правовую оценку,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