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17.04.2020, оставленным 2 без изменения постановлением Девятого арбитражного апелляционного суда от 16.09.2020, в удовлетворении требований отказано. Постановлением Арбитражного суда Московского округа от 20.01.2021 указанные судебные акты оставлены без изменения. Предприниматель просит отменить обжалуемые судебные акты, считая их принятыми с нарушением норм материального и процессуального права. Изучив изложенные в жалобе доводы и принятые по делу судебные акты, судья не находит оснований для удовлетворения жалобы. Оценив представленные доказательства, руководствуясь положениями Федерального закона от 16.07.1999 № 165-ФЗ «Об основах обязательного социального страхования», Федерального закона от 19.05.1995 № 81-ФЗ «О государственных пособиях гражданам, имеющим детей», Федерального закона от 29.12.2006 № 255-ФЗ «Об обязательном социальном страховании на случай временной нетрудоспособности и в связи с материнством», суды отказали в удовлетворении требований, признав наличие недобросовестных действий страхователя, направленных на формальное создание условий для получения средств для выплаты страхового возмещения пособий по обязательному социальному страхованию на случай временной нетрудоспособности и в связи с материнством.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по доводам жалобы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Учитывая изложенное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