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14.09.2020, оставленным без изменения постановлением Пятнадцатого арбитражного апелляционного суда от 12.11.2020, в удовлетворении требований отказано. Постановлением Арбитражного суда Северо-Кавказского округа от 15.02.2021 указанные судебные акты отменены, требования удовлетворены. 2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Исходя из установленных судами обстоятельств совершения обществом правонарушения 14.05.2018, суд округа пришел к выводу о том, что срок давности привлечения к административной ответственности, установленный частью 1 статьи 4.5 Кодекса Российской Федерации об административных правонарушениях, на момент вынесения постановления истек. Доводы жалобы противоречат положениям части 1 статьи 4.5 Кодекса Российской Федерации об административных правонарушениях, в соответствии с которой постановление по делу об административном правонарушении, связанном с нарушением таможенного законодательства, не может быть вынесено по истечении двух лет со дня совершения административного правонарушения.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