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Еврейской автономной области от 17.12.2019 в удовлетворении заявленных требований отказано. 2 В дальнейшем общество обратилось в арбитражный суд с заявлением о взыскании с Российской Федерации в лице Министерства финансов Российской Федерации судебных расходов в размере 20 000 рублей. Определением Арбитражного суда Еврейской автономной области от 03.09.2020, оставленным в силе постановлением Шестого арбитражного апелляционного суда от 16.11.2020, с Российской Федерации за счет казны Российской Федерации в пользу общества взысканы судебные расходы на оплату услуг представителя в размере 20 000 рублей. Постановлением Арбитражного суда Дальневосточного округа от 15.02.2021 указанные судебные акты изменены, резолютивная часть изложена в иной редакции: заявленные требования удовлетворены, с Российской Федерации в лице Министерства финансов Российской Федерации за счет казны Российской Федерации в пользу общества взысканы судебные расходы на оплату услуг представителя в размере 20 000 рублей. Министерство финансов Российской Федерации в жалобе просит отменить обжалуемые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3 Основания для пересмотра судебных актов в кассационном порядке по доводам жалобы отсутствуют. Суды, признав факт несения расходов подтвержденным, принимая во внимание характер спора, сложность дела, фактический объем оказанных юридических услуг, тарифы на оказание квалифицированной юридической помощи в регионе, руководствуясь положениями статьи 110 Арбитражного процессуального кодекса Российской Федерации, взыскали судебные расходы, связанные с оплатой услуг представителя, в спорном размере. Доводы, изложенные в кассационной жалобе, противоречат разъяснениям, изложенным в пункте 15.1 Постановления Пленума Высшего Арбитражного Суда Российской Федерации от 27.01.2003 № 2 «О некоторых вопросах, связанных с введением в действие Кодекса Российской Федерации об административных правонарушениях», пункте 15 Постановления Пленума Высшего Арбитражного Суда Российской Федерации от 23.03.2012 № 15 «О некоторых вопросах участия прокурора в арбитражном процессе», определении Верховного Суда Российской Федерации от 06.03.2017 № 308-ЭС16-15247. Ссылка на иную судебную практику подлежит отклонению, поскольку по приведенному делу спор касался взыскания убытков с государственного органа, и рассмотрен судом с применением норм законодательства об убытках.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