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участию в деле в качестве третьего лица, не заявляющего самостоятельных требований относительно предмета, привлечена Дюкарева Наталья Васильевна. 2 Решением Арбитражного суда города Москвы от 30.01.2020, оставленным без изменения постановлением Девятого арбитражного апелляционного суда от 13.08.2020, заявленное требование удовлетворено. Постановлением Арбитражного суда Московского округа от 28.01.2021 указанные судебные акты оставлены без изменения. Дюкарева Н.В. в кассационной жалобе просит отменить состоявшиеся по делу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невозможна, в том числе, защита нарушенных прав, свобод, законных интересов в сфере предпринимательской и иной экономической деятельности.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и признав факт оказания банком услуг в соответствии с действующим законодательством и условиями заключенного сторонами договора, суды пришли к выводу о недоказанности административным органом в действиях банка события вмененного административного правонарушения, в связи с чем признали оспариваемое постановление по делу об административном правонарушении незаконным.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3 Ссылка на иную судебную практику не может служить основанием для отмены обжалуемых судебных актов с учетом фактических обстоятельств настоящего спора, существенным образом отличающихся от обстоятельств приведенного дела.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