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указанные судебные акты, одновременно заявив ходатайство об отсрочке уплаты государственной пошлины, мотивированное отсутствием у него денежных средств, необходимых для уплаты пошлины в установленном размере. В силу статьи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2 пошлины устанавливаются в соответствии с законодательством Российской Федерации о налогах и сборах. В соответствии с пунктом 2 статьи 333.22 Налогового кодекса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данного Кодекса. Поскольку представленные обществом в обоснование ходатайства документы свидетельствуют об отсутствии у него возможности уплатить государственную пошлину при подаче кассационной жалобы, ходатайство подлежит удовлетворению. Руководствуясь статьями 102, 184, 185 Арбитражного процессуального кодекса Российской Федерации, статьями 333.22, 333.41 Налогового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«ЛаТранс» удовлетворить. Предоставить обществу с ограниченной ответственностью «ЛаТранс» отсрочку уплаты государственной пошлины сроком до окончания производства по кассационной жалобе.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