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09.04.2020, оставленным без изменения постановлением Девятого арбитражного апелляционного суда от 24.08.2020 и постановлением Арбитражного суда Московского округа от 19.01.2021, в удовлетворении иска отказано в связи с истечением срока исковой давности, о применении которой заявил ответчик. В кассационной жалобе общество «Мото Контракт» просит об отмене судебных актов, ссылаясь на невыяснение полномочий лиц, подписавших акт сверки расчетов, прерывающий течение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неисследовании полномочий подписавших от имени ответчика акт сверки расчетов лиц опровергается установленными судами обстоятельствами. Признания ответчиком долга, выраженного в надлежащей форме и в положенное время, суды не установили, поэтому отказали в иске на основании пункта 2 статьи 199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«Мото Контракт»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