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30.06.2020, оставленным без изменения постановлением Девятого арбитражного апелляционного суда от 12.10.2020 и постановлением Арбитражного суда Московского округа от 09.02.2021, иск удовлетворен. В кассационной жалобе общество «ВКТехнология» просит отменить судебные акты, ссылаясь на невозникновение обязанности по поставке в связи с ее неполной предварительной оплатой истцом.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отсутствие поставки товара на спорную сумму у ответчика нет основания для ее удержания, в том числе в качестве неустойки, соглашения о которой не имеется, поэтому, руководствуясь статьей 487 Гражданского кодекса Российской Федерации, обязали возвратить истцу уплаченную сумму.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«ВКТехнология»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