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17.07.2020, оставленным без изменения постановлением Тринадцатого арбитражного апелляционного суда от 13.11.2020, разногласия урегулированы, в частности принятием в редакции ответчика абзаца 3 пункта 16 договора. В кассационной жалобе компания просит об отмене судебных актов, ссылаясь на неосновательное непринятие ее экономически обоснованного расчета совокупного размера платы за пользование железнодорожным путем, учитывающего установленные в другом деле обстоятельства использования пути третьим лицом.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по доводам жалобы не усматривается. При выборе предложенных сторонами редакций спорного договорного условия суды руководствовались критерием экономической обоснованности размера платы за использование пути и ее составляющих, определенным судебной практикой рассмотрения споров о заключении договора.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«Западная железнодорожная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