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14.07.2020, оставленным без изменения постановлением Тринадцатого арбитражного апелляционного суда от 16.10.2020 2 и постановлением Арбитражного суда Северо-Западного округа от 22.01.2021, требования по первоначальному и встречному искам удовлетворены, в результате зачета удовлетворенных требований с общества в пользу фонда взыскано 821 944 руб. 04 коп. В кассационной жалобе, поданной в Верховный Суд Российской Федерации, фонд, ссылаясь на нарушение судами материального права, просит отменить указанные судебные акты в части удовлетворения первоначального иска и направить дело на новое рассмотрение в соответствующий арбитражный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общество ссылаясь на неисполнение фондом обязательств по оплате работ, выполненных по договору от 05.07.2017 № 12/П/2017, обратилось в арбитражный суд с настоящим иском.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заключение судебной экспертизы, установив факт выполнения обществом работ на спорную сумму и отсутствие доказательств их оплаты, руководствуясь статьями 309, 310, 702, 708, 711, 720, 723 Гражданского кодекса Российской Федерации, суды первой и апелляционной инстанций признали обоснованными заявленные обществом требования. Суд округа согласился с выводами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некоммерческой организации «Фонд капитального ремонта многоквартирных домов Ленинградской области»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