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11.05.2021 обратился в Верховный Суд Российской Федерации с жалобой на определение судьи Верховного Суда Российской Федерации от 10.03.2021 № 305-ЭС21-372, решение Арбитражного суда города Москвы от 11.02.2020, постановление Девятого арбитражного апелляционного суда от 28.07.2020 и постановление Арбитражного суда Московского округа от 11.11.2020 по делу № А40-276909/2019,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санаторно-курортного объединения «Смена» о восстановлении пропущенного процессуального срока отказать. Жалобу возвратить заявителю. Судья Верховного Суда Т.В. Завьялова Суд: Верховный Суд РФ (подробнее) Истцы: ГОСУДАРСТВЕННОЕ КАЗЕННОЕ УЧРЕЖДЕНИЕ ГОРОДА МОСКВЫ "ДИРЕКЦИЯ ПО ОБЕСПЕЧЕНИЮ ДЕЯТЕЛЬНОСТИ ОРГАНИЗАЦИЙ ТРУДА И СОЦИАЛЬНОЙ ЗАЩИТЫ НАСЕЛЕНИЯ ГОРОДА МОСКВЫ" (подробнее) Ответчики: ООО САНАТОРНО-КУРОРТНОЕ ОБЪЕДИНЕНИЕ "СМЕНА"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