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Волгоградской области от 09.07.2020, оставленным без изменения постановлением Двенадцатого арбитражного апелляционного суда от 30.09.2020 и постановлением Арбитражного суда Поволжского округа от 21.01.2021, в удовлетворении иска отказано в связи с недоказанностью. В кассационной жалобе общество «Арматела» просит о пересмотре судебных актов, ссылаясь на отсутствие оснований для удержания ответчиком полученной суммы.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спорная сумма не имеет признаков неосновательного обогащения, поскольку перечислена в счет исполнения агентского договора. Обратное признано не доказанным истцом, поэтому в иске отказано и на основании 65 Арбитражного процессуального кодекса Российской Федерации. Иная оценка правоотношений сторон, заложенная в доводах жалобы, не отвечает критериям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«Арматела»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"АРМАТЕЛА" (подробнее) Ответчики: АО Страховое "ВСК"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