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30.12.2019, оставленным без изменения постановлением Девятого арбитражного апелляционного суда от 23.09.2020, в удовлетворении иска отказано. Арбитражный суд Московского округа постановлением от 20.01.2021 решение от 30.12.2019 и постановление Девятого арбитражного апелляционного суда от 23.09.2020 оставил без изменения. В кассационной жалобе акционерное общество «Связь-Прогресс» просит об отмене судебных актов, ссылаясь на нарушение процессуальных норм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правоотношения сторон и установили, что на момент заключения договора займа от 08.09.2018 № 1/09/18С они являлись участниками простого товарищества, а заемные средства являются вкладом участника в финансирование совместной деятельности. Учитывая наличие задолженности общества «Связь-Прогресс» по финансированию деятельности простого товарищества, суды, руководствуясь статьями 807, 1041, 1047 Гражданского кодекса Российской Федерации, пришли к выводу об отсутствии обязанности ответчика по их возврату в качестве займа. Иная оценка заявителем характера спорных правоотношений, затронутые вопросы доказывания и оценки доказательств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«Связь-Прогресс»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