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11.08.2020, оставленным без изменения постановлением Семнадцатого арбитражного апелляционного суда от 19.10.2020 и постановлением Арбитражного суда Уральского округа от 18.01.2021, в удовлетворении заявления общества «Сити-Групп» о взыскании судебных расходов отказано. В кассационной жалобе общество «Сити-Групп» просит о пересмотре судебных актов, ссылаясь на ошибочную позицию судов о повторном обращении с заявлением о взыскании судебных расходов в связи с обжалованием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Ограничение возможности обращения с заявлением о взыскании судебных расходов, понесенных в связи с рассмотрением заявления о взыскании таких расходов, основано на статьях 101, 106, 110, 112 Арбитражного процессуального кодекса Российской и их судебном толковании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