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01.07.2020, оставленным без изменения постановлением Восьмого арбитражного апелляционного суда от 23.09.2020 и постановлением Арбитражного суда Западно-Сибирского округа от 22.01.2021, в удовлетворении иска отказано. В кассационной жалобе общество просит об отмене судебных актов как противоречащих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Исследовав и оценив обстоятельства исполнения сторонами договора подряда от 07.09.2018 № 06/18, суды установили, что выполненные подрядчиком (обществом) работы не приняты заказчиком (предпринимателем) из-за выявленных муниципальным заказчиком, в пользу которого работы выполнялись, недостатков, поэтому в силу статей 702 , 711 , 723 , 746 , 753 Гражданского кодекса Российской Федерации признали обоснованным отказ от оплаты работ. Иная оценка заявителем обстоятельств исполнения договора, изложенная в жалобе, не отвечает критериям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«Приуральский Строй-Инвест»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"ПРИУРАЛЬСКИЙ СТРОЙ-ИНВЕСТ" (подробнее) Ответчики: ИП Исмаилов Абдулла Рустам оглы (подробнее) Иные лица: Арбитражный суд Западно-Сибирского округа (подробнее) Восьмой арбитражный апелляционный суд (подробнее) Судьи дела: Ксенофонтова Н.А. (судья)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