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«Восточный экспресс банк»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акционерного общества «ВСК» 10 164 383 рублей 76 копеек страхового возмещения по договору страхования от 26.04.2018 № 1800RI80R1258.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Частное охранное предприятие «Центр». Решением Арбитражного суда города Москвы от 02.07.2020 в удовлетворении иска отказано. Постановлением Девятого арбитражного апелляционного суда от 19.11.2020 решение суда первой инстанции отставлено без изменения. 2 Арбитражный суд Московского округа постановлением от 09.03.2021 указанные судебные акты оставил без изменения. Публичное акционерное общество «Восточный экспресс банк»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исходя из буквального толкования условий договора, установив, что заявленное истцом событие не относится к страховому случаю, руководствуясь статьями 421, 431, 929, 942, 943, 947 Гражданского кодекса Российской Федерации, положениями Закона Российской Федерации от 27.11.1992 № 4015-1 «Об организации страхового дела в Российской Федерации», суды пришли к выводу об отсутствии у страховщика обязанности по выплате страхового возмещения по заявленному событию. Доводы жалобы, с учетом установленных фактических обстоятельств дела, выводы судов не опровергают.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«Восточный экспресс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