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«Специализированный застройщик «Коломяжский-2» обратилось в Арбитражный суд города Санкт- Петербурга и Ленинградской области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«Балтийский заказчик» 4 500 000 рублей задолженности по договору на оказание услуг от 19.02.2019 № 1-К1. Решением Арбитражного суда города Санкт-Петербурга и Ленинградской области от 12.08.2020 в удовлетворении иска отказано. Постановлением Тринадцатого арбитражного апелляционного суда от 26.10.2020 решение суда первой инстанции оставлено без изменения. Арбитражный суд Северо-Западного округа постановлением от 16.02.2021 указанные судебные акты оставил без изменения. 2 Общество с ограниченной ответственностью «Специализированный застройщик «Коломяжский - 2»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статей 65, 71 Арбитражного процессуального кодекса Российской Федерации, установив, что оплаченные истцом (заказчиком) услуги оказаны ответчиком надлежащим образом, руководствуясь положениями статей 309, 310, 424, 779, 782 Гражданского кодекса Российской Федерации, суды пришли к выводу о необоснованности заявленного требования. Доводы жалобы относительно правовой квалификации заключенного сторонами договора выводы судов, с учетом установленных фактических обстоятельств дела, не опровергают.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«Специализированный застройщик «Коломяжский - 2»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