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«Степницки Спулка Явна» обратилось в Арбитражный суд города Москвы с иском о взыскании с общества с ограниченной ответственностью «Трэйд Сервис» 1 033 378 рублей 50 копеек задолженности договорам-заявкам № 561, 577, 621, 623, 624, 641, 650/1 и 24 809 рублей 25 копеек неустойки. Решением Арбитражного суда города Москвы от 30.09.2020 иск удовлетворен. Постановлением Девятого арбитражного апелляционного суда от 01.12.2020 решение суда первой инстанции оставлено без изменения. Арбитражный суд Московского округа постановлением от 01.03.2021 указанные судебные акты оставил без изменения. Общество с ограниченной ответственностью «Трэйд Сервис»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68, 71 Арбитражного процессуального кодекса Российской Федерации, установив факт оказания истцом транспортных услуг и отсутствие доказательств их оплаты в полном объеме, руководствуясь положениями статей 309, 310 Гражданского кодекса Российской Федерации, суды пришли к выводу о наличии оснований для удовлетворения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Фактические обстоятельства, на которых истец основывает свои требования, ответчиком при рассмотрении спора в суде первой и апелляционной инстанций не оспорены и возражения относительно существа иска не заявлены.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«Трэйд 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